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F0155" w14:textId="77777777"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14:paraId="0A1F0157"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A1F0156" w14:textId="7D52B14A" w:rsidR="003109B5" w:rsidRPr="00AE4DC8" w:rsidRDefault="006C5CDC" w:rsidP="00280BB1">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w:t>
            </w:r>
            <w:r w:rsidR="00280BB1">
              <w:rPr>
                <w:b/>
                <w:sz w:val="24"/>
                <w:lang w:val="fr-FR"/>
              </w:rPr>
              <w:t>5</w:t>
            </w:r>
            <w:r w:rsidRPr="00AE4DC8">
              <w:rPr>
                <w:b/>
                <w:sz w:val="24"/>
                <w:lang w:val="fr-FR"/>
              </w:rPr>
              <w:t xml:space="preserve"> Édition </w:t>
            </w:r>
            <w:r w:rsidR="00AF3CBB" w:rsidRPr="00AE4DC8">
              <w:rPr>
                <w:rStyle w:val="FootnoteReference"/>
                <w:rFonts w:cs="Tahoma"/>
                <w:b/>
                <w:sz w:val="24"/>
                <w:lang w:val="fr-FR"/>
              </w:rPr>
              <w:footnoteReference w:id="1"/>
            </w:r>
          </w:p>
        </w:tc>
      </w:tr>
      <w:tr w:rsidR="003109B5" w:rsidRPr="00AE4DC8" w14:paraId="0A1F015D"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A1F0158" w14:textId="77777777" w:rsidR="003109B5" w:rsidRPr="00AE4DC8" w:rsidRDefault="003109B5" w:rsidP="00ED5D14">
            <w:pPr>
              <w:rPr>
                <w:rFonts w:eastAsia="SimSun"/>
                <w:b/>
                <w:bCs/>
                <w:sz w:val="24"/>
                <w:szCs w:val="24"/>
                <w:lang w:val="fr-FR"/>
              </w:rPr>
            </w:pPr>
          </w:p>
          <w:p w14:paraId="0A1F0159" w14:textId="77777777"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14:paraId="0A1F015A" w14:textId="77777777"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14:paraId="0A1F015B" w14:textId="77777777"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14:paraId="0A1F015C" w14:textId="77777777" w:rsidR="003109B5" w:rsidRPr="00AE4DC8" w:rsidRDefault="003109B5" w:rsidP="00ED5D14">
            <w:pPr>
              <w:rPr>
                <w:lang w:val="fr-FR"/>
              </w:rPr>
            </w:pPr>
          </w:p>
        </w:tc>
      </w:tr>
      <w:tr w:rsidR="003109B5" w:rsidRPr="00AE4DC8" w14:paraId="0A1F015F"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A1F015E" w14:textId="77777777" w:rsidR="003109B5" w:rsidRPr="00AE4DC8" w:rsidRDefault="003109B5" w:rsidP="00ED5D14">
            <w:pPr>
              <w:outlineLvl w:val="1"/>
              <w:rPr>
                <w:b/>
                <w:bCs/>
              </w:rPr>
            </w:pPr>
            <w:r w:rsidRPr="00AE4DC8">
              <w:rPr>
                <w:b/>
                <w:bCs/>
                <w:lang w:val="fr-FR"/>
              </w:rPr>
              <w:t>CONTRAT DE LICENCE UTILISATEUR FINAL</w:t>
            </w:r>
          </w:p>
        </w:tc>
      </w:tr>
    </w:tbl>
    <w:p w14:paraId="0A1F0160" w14:textId="77777777"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14:paraId="0A1F0161" w14:textId="77777777" w:rsidR="003109B5" w:rsidRPr="00AE4DC8" w:rsidRDefault="003109B5" w:rsidP="00132ACF">
      <w:pPr>
        <w:pStyle w:val="Bullet2"/>
        <w:tabs>
          <w:tab w:val="clear" w:pos="720"/>
          <w:tab w:val="num" w:pos="360"/>
        </w:tabs>
        <w:ind w:left="360"/>
      </w:pPr>
      <w:r w:rsidRPr="00AE4DC8">
        <w:rPr>
          <w:sz w:val="20"/>
          <w:lang w:val="fr-FR"/>
        </w:rPr>
        <w:t>les mises à jour,</w:t>
      </w:r>
    </w:p>
    <w:p w14:paraId="0A1F0162" w14:textId="77777777" w:rsidR="003109B5" w:rsidRPr="00AE4DC8" w:rsidRDefault="003109B5" w:rsidP="00132ACF">
      <w:pPr>
        <w:pStyle w:val="Bullet2"/>
        <w:tabs>
          <w:tab w:val="clear" w:pos="720"/>
          <w:tab w:val="num" w:pos="360"/>
        </w:tabs>
        <w:ind w:left="360"/>
      </w:pPr>
      <w:r w:rsidRPr="00AE4DC8">
        <w:rPr>
          <w:sz w:val="20"/>
          <w:lang w:val="fr-FR"/>
        </w:rPr>
        <w:t>les suppléments, et</w:t>
      </w:r>
    </w:p>
    <w:p w14:paraId="0A1F0163" w14:textId="77777777" w:rsidR="003109B5" w:rsidRPr="00AE4DC8" w:rsidRDefault="003109B5" w:rsidP="00132ACF">
      <w:pPr>
        <w:pStyle w:val="Bullet2"/>
        <w:tabs>
          <w:tab w:val="clear" w:pos="720"/>
          <w:tab w:val="num" w:pos="360"/>
        </w:tabs>
        <w:ind w:left="360"/>
      </w:pPr>
      <w:r w:rsidRPr="00AE4DC8">
        <w:rPr>
          <w:sz w:val="20"/>
          <w:lang w:val="fr-FR"/>
        </w:rPr>
        <w:t>les services Internet</w:t>
      </w:r>
    </w:p>
    <w:p w14:paraId="0A1F0164" w14:textId="77777777"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14:paraId="0A1F0165" w14:textId="77777777"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14:paraId="0A1F0166" w14:textId="77777777"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14:paraId="0A1F0168" w14:textId="77777777" w:rsidTr="0021492B">
        <w:trPr>
          <w:trHeight w:hRule="exact" w:val="101"/>
        </w:trPr>
        <w:tc>
          <w:tcPr>
            <w:tcW w:w="9547" w:type="dxa"/>
            <w:shd w:val="clear" w:color="auto" w:fill="000080"/>
          </w:tcPr>
          <w:p w14:paraId="0A1F0167" w14:textId="77777777" w:rsidR="003109B5" w:rsidRPr="00AE4DC8" w:rsidRDefault="003109B5" w:rsidP="0021492B">
            <w:pPr>
              <w:outlineLvl w:val="1"/>
              <w:rPr>
                <w:b/>
                <w:bCs/>
              </w:rPr>
            </w:pPr>
          </w:p>
        </w:tc>
      </w:tr>
    </w:tbl>
    <w:p w14:paraId="0A1F0169" w14:textId="77777777"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14:paraId="0A1F016A" w14:textId="77777777" w:rsidR="003109B5" w:rsidRPr="00AE4DC8" w:rsidRDefault="003109B5" w:rsidP="00132ACF">
      <w:pPr>
        <w:pStyle w:val="Heading1"/>
        <w:ind w:left="360" w:hanging="360"/>
        <w:rPr>
          <w:rFonts w:cs="Tahoma"/>
        </w:rPr>
      </w:pPr>
      <w:r w:rsidRPr="00AE4DC8">
        <w:rPr>
          <w:rFonts w:cs="Tahoma"/>
          <w:sz w:val="20"/>
          <w:lang w:val="fr-FR"/>
        </w:rPr>
        <w:t>PRÉSENTATION.</w:t>
      </w:r>
    </w:p>
    <w:p w14:paraId="0A1F016B" w14:textId="77777777"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14:paraId="0A1F016C" w14:textId="77777777" w:rsidR="003109B5" w:rsidRPr="00AE4DC8" w:rsidRDefault="006C5CDC" w:rsidP="00132ACF">
      <w:pPr>
        <w:pStyle w:val="Bullet3"/>
      </w:pPr>
      <w:r w:rsidRPr="00AE4DC8">
        <w:rPr>
          <w:sz w:val="20"/>
          <w:lang w:val="fr-FR"/>
        </w:rPr>
        <w:t>le logiciel serveur,</w:t>
      </w:r>
    </w:p>
    <w:p w14:paraId="0A1F016D" w14:textId="77777777"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14:paraId="0A1F016E" w14:textId="77777777"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14:paraId="0A1F016F" w14:textId="77777777" w:rsidR="003109B5" w:rsidRPr="00AE4DC8" w:rsidRDefault="003109B5" w:rsidP="00132ACF">
      <w:pPr>
        <w:pStyle w:val="Bullet3"/>
      </w:pPr>
      <w:r w:rsidRPr="00AE4DC8">
        <w:rPr>
          <w:sz w:val="20"/>
          <w:lang w:val="fr-FR"/>
        </w:rPr>
        <w:t>le nombre d’instances du logiciel serveur que vous exécutez ; et</w:t>
      </w:r>
    </w:p>
    <w:p w14:paraId="0A1F0170" w14:textId="77777777" w:rsidR="003109B5" w:rsidRPr="00AE4DC8" w:rsidRDefault="003109B5" w:rsidP="00132ACF">
      <w:pPr>
        <w:pStyle w:val="Bullet3"/>
      </w:pPr>
      <w:r w:rsidRPr="00AE4DC8">
        <w:rPr>
          <w:sz w:val="20"/>
          <w:lang w:val="fr-FR"/>
        </w:rPr>
        <w:t>le nombre de dispositifs et d’utilisateurs qui ont accès aux instances du logiciel serveur.</w:t>
      </w:r>
    </w:p>
    <w:p w14:paraId="0A1F0171" w14:textId="77777777"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14:paraId="0A1F0172" w14:textId="77777777"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14:paraId="0A1F0173" w14:textId="77777777"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14:paraId="0A1F0174" w14:textId="77777777"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14:paraId="0A1F0175" w14:textId="77777777"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A1F0176" w14:textId="77777777"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14:paraId="0A1F0177" w14:textId="77777777"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14:paraId="0A1F0178" w14:textId="77777777" w:rsidR="003109B5" w:rsidRPr="00AE4DC8" w:rsidRDefault="003109B5" w:rsidP="00132ACF">
      <w:pPr>
        <w:pStyle w:val="Bullet4"/>
      </w:pPr>
      <w:r w:rsidRPr="00AE4DC8">
        <w:rPr>
          <w:sz w:val="20"/>
          <w:lang w:val="fr-FR"/>
        </w:rPr>
        <w:t>un environnement de système d’exploitation physique,</w:t>
      </w:r>
    </w:p>
    <w:p w14:paraId="0A1F0179" w14:textId="77777777" w:rsidR="003109B5" w:rsidRPr="00AE4DC8" w:rsidRDefault="003109B5" w:rsidP="00132ACF">
      <w:pPr>
        <w:pStyle w:val="Bullet4"/>
      </w:pPr>
      <w:r w:rsidRPr="00AE4DC8">
        <w:rPr>
          <w:sz w:val="20"/>
          <w:lang w:val="fr-FR"/>
        </w:rPr>
        <w:t>un ou plusieurs environnements de système d’exploitation virtuels.</w:t>
      </w:r>
    </w:p>
    <w:p w14:paraId="0A1F017A" w14:textId="77777777"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14:paraId="0A1F017B" w14:textId="77777777"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14:paraId="0A1F017C" w14:textId="77777777" w:rsidR="003109B5" w:rsidRPr="00AE4DC8" w:rsidRDefault="003109B5" w:rsidP="00132ACF">
      <w:pPr>
        <w:pStyle w:val="Heading1"/>
        <w:ind w:left="360" w:hanging="360"/>
        <w:rPr>
          <w:rFonts w:cs="Tahoma"/>
        </w:rPr>
      </w:pPr>
      <w:r w:rsidRPr="00AE4DC8">
        <w:rPr>
          <w:rFonts w:cs="Tahoma"/>
          <w:sz w:val="20"/>
          <w:lang w:val="fr-FR"/>
        </w:rPr>
        <w:t>DROITS D’UTILISATION.</w:t>
      </w:r>
    </w:p>
    <w:p w14:paraId="0A1F017D" w14:textId="77777777" w:rsidR="003109B5" w:rsidRPr="00AE4DC8" w:rsidRDefault="003109B5" w:rsidP="00132ACF">
      <w:pPr>
        <w:pStyle w:val="Heading2"/>
        <w:rPr>
          <w:rFonts w:cs="Tahoma"/>
        </w:rPr>
      </w:pPr>
      <w:r w:rsidRPr="00AE4DC8">
        <w:rPr>
          <w:rFonts w:cs="Tahoma"/>
          <w:sz w:val="20"/>
          <w:lang w:val="fr-FR"/>
        </w:rPr>
        <w:t>Attribution de la licence au serveur.</w:t>
      </w:r>
    </w:p>
    <w:p w14:paraId="0A1F017E"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14:paraId="0A1F017F" w14:textId="77777777"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14:paraId="0A1F0180" w14:textId="77777777"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14:paraId="0A1F0181" w14:textId="77777777"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14:paraId="0A1F0182" w14:textId="5340D3E9"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pour Microsoft Office Outlook</w:t>
      </w:r>
    </w:p>
    <w:p w14:paraId="0A1F0183" w14:textId="319ABF62" w:rsidR="003109B5" w:rsidRPr="00AE4DC8" w:rsidRDefault="003109B5" w:rsidP="00B23F49">
      <w:pPr>
        <w:pStyle w:val="Bullet3"/>
      </w:pPr>
      <w:r w:rsidRPr="00AE4DC8">
        <w:rPr>
          <w:sz w:val="20"/>
          <w:lang w:val="fr-FR"/>
        </w:rPr>
        <w:t>Microsoft E-Mail Router et Assistant déploiement de règles pour Microsoft Dynamics CRM </w:t>
      </w:r>
      <w:r w:rsidR="00280BB1">
        <w:rPr>
          <w:sz w:val="20"/>
          <w:lang w:val="fr-FR"/>
        </w:rPr>
        <w:t>2015</w:t>
      </w:r>
    </w:p>
    <w:p w14:paraId="0A1F0184" w14:textId="2E8DFA15" w:rsidR="003109B5" w:rsidRPr="00AE4DC8" w:rsidRDefault="003109B5" w:rsidP="00B23F49">
      <w:pPr>
        <w:pStyle w:val="Bullet3"/>
      </w:pPr>
      <w:r w:rsidRPr="00AE4DC8">
        <w:rPr>
          <w:sz w:val="20"/>
          <w:lang w:val="fr-FR"/>
        </w:rPr>
        <w:t>Microsoft Dynamics CRM Reporting Extensions pour Microsoft Dynamics CRM </w:t>
      </w:r>
      <w:r w:rsidR="00280BB1">
        <w:rPr>
          <w:sz w:val="20"/>
          <w:lang w:val="fr-FR"/>
        </w:rPr>
        <w:t>2015</w:t>
      </w:r>
    </w:p>
    <w:p w14:paraId="0A1F0185" w14:textId="175E8916" w:rsidR="003109B5" w:rsidRPr="00AE4DC8" w:rsidRDefault="003109B5" w:rsidP="00B23F49">
      <w:pPr>
        <w:pStyle w:val="Bullet3"/>
      </w:pPr>
      <w:r w:rsidRPr="00AE4DC8">
        <w:rPr>
          <w:sz w:val="20"/>
          <w:lang w:val="fr-FR"/>
        </w:rPr>
        <w:t>Microsoft SharePoint Grid pour Microsoft Dynamics CRM </w:t>
      </w:r>
      <w:r w:rsidR="00280BB1">
        <w:rPr>
          <w:sz w:val="20"/>
          <w:lang w:val="fr-FR"/>
        </w:rPr>
        <w:t>2015</w:t>
      </w:r>
    </w:p>
    <w:p w14:paraId="0A1F0186" w14:textId="7E0C35A5" w:rsidR="003109B5" w:rsidRPr="00AE4DC8" w:rsidRDefault="003109B5" w:rsidP="00B23F49">
      <w:pPr>
        <w:pStyle w:val="Bullet3"/>
      </w:pPr>
      <w:r w:rsidRPr="00AE4DC8">
        <w:rPr>
          <w:sz w:val="20"/>
          <w:lang w:val="fr-FR"/>
        </w:rPr>
        <w:t>Extensions de création de rapports Microsoft Dynamics CRM </w:t>
      </w:r>
      <w:r w:rsidR="00280BB1">
        <w:rPr>
          <w:sz w:val="20"/>
          <w:lang w:val="fr-FR"/>
        </w:rPr>
        <w:t>2015</w:t>
      </w:r>
    </w:p>
    <w:p w14:paraId="0A1F0187" w14:textId="3CD61C56" w:rsidR="003109B5" w:rsidRPr="00AE4DC8" w:rsidRDefault="003109B5" w:rsidP="00B23F49">
      <w:pPr>
        <w:pStyle w:val="Bullet3"/>
      </w:pPr>
      <w:r w:rsidRPr="00AE4DC8">
        <w:rPr>
          <w:sz w:val="20"/>
          <w:lang w:val="fr-FR"/>
        </w:rPr>
        <w:t>Microsoft Dynamics CRM </w:t>
      </w:r>
      <w:r w:rsidR="00280BB1">
        <w:rPr>
          <w:sz w:val="20"/>
          <w:lang w:val="fr-FR"/>
        </w:rPr>
        <w:t>2015</w:t>
      </w:r>
      <w:r w:rsidRPr="00AE4DC8">
        <w:rPr>
          <w:sz w:val="20"/>
          <w:lang w:val="fr-FR"/>
        </w:rPr>
        <w:t xml:space="preserve"> Best Practices Analyzer</w:t>
      </w:r>
    </w:p>
    <w:p w14:paraId="0A1F0188" w14:textId="3BEC28C0" w:rsidR="003109B5" w:rsidRPr="00AE4DC8" w:rsidRDefault="006C5CDC" w:rsidP="00B23F49">
      <w:pPr>
        <w:pStyle w:val="Bullet3"/>
      </w:pPr>
      <w:r w:rsidRPr="00AE4DC8">
        <w:rPr>
          <w:sz w:val="20"/>
          <w:lang w:val="fr-FR"/>
        </w:rPr>
        <w:t>Interface utilisateur multilingue Microsoft Dynamics CRM </w:t>
      </w:r>
      <w:r w:rsidR="00280BB1">
        <w:rPr>
          <w:sz w:val="20"/>
          <w:lang w:val="fr-FR"/>
        </w:rPr>
        <w:t>2015</w:t>
      </w:r>
    </w:p>
    <w:p w14:paraId="0A1F0189" w14:textId="77777777" w:rsidR="003109B5" w:rsidRPr="00AE4DC8" w:rsidRDefault="006C5CDC" w:rsidP="00B23F49">
      <w:pPr>
        <w:pStyle w:val="Bullet3"/>
      </w:pPr>
      <w:r w:rsidRPr="00AE4DC8">
        <w:rPr>
          <w:sz w:val="20"/>
          <w:lang w:val="fr-FR"/>
        </w:rPr>
        <w:t>Connecteur MarketingPilot pour Microsoft Dynamics CRM</w:t>
      </w:r>
    </w:p>
    <w:p w14:paraId="0A1F018A" w14:textId="77777777" w:rsidR="003109B5" w:rsidRPr="00AE4DC8" w:rsidRDefault="006C5CDC" w:rsidP="00B23F49">
      <w:pPr>
        <w:pStyle w:val="Bullet3"/>
      </w:pPr>
      <w:r w:rsidRPr="00AE4DC8">
        <w:rPr>
          <w:sz w:val="20"/>
          <w:lang w:val="fr-FR"/>
        </w:rPr>
        <w:t>Microsoft Dynamics CTM Sales Workspace</w:t>
      </w:r>
    </w:p>
    <w:p w14:paraId="0A1F018B" w14:textId="77777777" w:rsidR="003109B5" w:rsidRPr="00AE4DC8" w:rsidRDefault="006C5CDC" w:rsidP="00B23F49">
      <w:pPr>
        <w:pStyle w:val="Bullet3"/>
      </w:pPr>
      <w:r w:rsidRPr="00AE4DC8">
        <w:rPr>
          <w:sz w:val="20"/>
          <w:lang w:val="fr-FR"/>
        </w:rPr>
        <w:t>Microsoft Dynamics CRM pour dispositifs pris en charge</w:t>
      </w:r>
    </w:p>
    <w:p w14:paraId="0A1F018C" w14:textId="77777777"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14:paraId="0A1F018D" w14:textId="77777777" w:rsidR="003109B5" w:rsidRPr="00AE4DC8" w:rsidRDefault="003109B5" w:rsidP="00132ACF">
      <w:pPr>
        <w:pStyle w:val="Bullet3"/>
      </w:pPr>
      <w:r w:rsidRPr="00AE4DC8">
        <w:rPr>
          <w:sz w:val="20"/>
          <w:lang w:val="fr-FR"/>
        </w:rPr>
        <w:t>Vous pouvez créer un nombre quelconque d’instances du logiciel serveur et des logiciels supplémentaires.</w:t>
      </w:r>
    </w:p>
    <w:p w14:paraId="0A1F018E" w14:textId="77777777"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14:paraId="0A1F018F" w14:textId="77777777"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14:paraId="0A1F0190" w14:textId="77777777"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14:paraId="0A1F0191" w14:textId="77777777" w:rsidR="003109B5" w:rsidRPr="00AE4DC8" w:rsidRDefault="003109B5" w:rsidP="00132ACF">
      <w:pPr>
        <w:pStyle w:val="Heading2"/>
        <w:ind w:hanging="360"/>
        <w:rPr>
          <w:rFonts w:cs="Tahoma"/>
        </w:rPr>
      </w:pPr>
      <w:r w:rsidRPr="00AE4DC8">
        <w:rPr>
          <w:rFonts w:cs="Tahoma"/>
          <w:sz w:val="20"/>
          <w:lang w:val="fr-FR"/>
        </w:rPr>
        <w:t>Licences d’Accès Client (CAL).</w:t>
      </w:r>
    </w:p>
    <w:p w14:paraId="0A1F0192" w14:textId="77777777"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14:paraId="0A1F0193" w14:textId="77777777"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14:paraId="0A1F0194" w14:textId="77777777"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14:paraId="0A1F0195" w14:textId="77777777"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14:paraId="0A1F0196" w14:textId="77777777"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14:paraId="0A1F0197" w14:textId="77777777"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0A1F0198" w14:textId="64AFFEF3"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w:t>
      </w:r>
      <w:r w:rsidR="00280BB1">
        <w:rPr>
          <w:sz w:val="20"/>
          <w:lang w:val="fr-FR"/>
        </w:rPr>
        <w:t>5</w:t>
      </w:r>
      <w:r w:rsidRPr="00AE4DC8">
        <w:rPr>
          <w:sz w:val="20"/>
          <w:lang w:val="fr-FR"/>
        </w:rPr>
        <w:t>.</w:t>
      </w:r>
    </w:p>
    <w:p w14:paraId="0A1F0199" w14:textId="4BC06730"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w:t>
      </w:r>
      <w:r w:rsidR="00280BB1">
        <w:rPr>
          <w:sz w:val="20"/>
          <w:lang w:val="fr-FR"/>
        </w:rPr>
        <w:t>5</w:t>
      </w:r>
      <w:r w:rsidRPr="00AE4DC8">
        <w:rPr>
          <w:sz w:val="20"/>
          <w:lang w:val="fr-FR"/>
        </w:rPr>
        <w:t>.</w:t>
      </w:r>
    </w:p>
    <w:p w14:paraId="0A1F019A" w14:textId="4D30F007"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w:t>
      </w:r>
      <w:r w:rsidR="00280BB1">
        <w:rPr>
          <w:sz w:val="20"/>
          <w:lang w:val="fr-FR"/>
        </w:rPr>
        <w:t>5</w:t>
      </w:r>
      <w:r w:rsidRPr="00AE4DC8">
        <w:rPr>
          <w:sz w:val="20"/>
          <w:lang w:val="fr-FR"/>
        </w:rPr>
        <w:t>.</w:t>
      </w:r>
    </w:p>
    <w:p w14:paraId="0A1F019B" w14:textId="77777777"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14:paraId="0A1F019C" w14:textId="77777777"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14:paraId="0A1F019D" w14:textId="77777777"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14:paraId="0A1F019E" w14:textId="77777777"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14:paraId="0A1F019F" w14:textId="77777777"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14:paraId="0A1F01A0" w14:textId="77777777" w:rsidR="003109B5" w:rsidRPr="00AE4DC8" w:rsidRDefault="003109B5" w:rsidP="00132ACF">
      <w:pPr>
        <w:pStyle w:val="Bullet3"/>
      </w:pPr>
      <w:r w:rsidRPr="00AE4DC8">
        <w:rPr>
          <w:sz w:val="20"/>
          <w:lang w:val="fr-FR"/>
        </w:rPr>
        <w:t>regrouper les connexions,</w:t>
      </w:r>
    </w:p>
    <w:p w14:paraId="0A1F01A1" w14:textId="77777777" w:rsidR="003109B5" w:rsidRPr="00AE4DC8" w:rsidRDefault="003109B5" w:rsidP="00132ACF">
      <w:pPr>
        <w:pStyle w:val="Bullet3"/>
      </w:pPr>
      <w:r w:rsidRPr="00AE4DC8">
        <w:rPr>
          <w:sz w:val="20"/>
          <w:lang w:val="fr-FR"/>
        </w:rPr>
        <w:t>réacheminer l’information ou</w:t>
      </w:r>
    </w:p>
    <w:p w14:paraId="0A1F01A2" w14:textId="77777777" w:rsidR="003109B5" w:rsidRPr="00AE4DC8" w:rsidRDefault="003109B5" w:rsidP="00132ACF">
      <w:pPr>
        <w:pStyle w:val="Bullet3"/>
      </w:pPr>
      <w:r w:rsidRPr="00AE4DC8">
        <w:rPr>
          <w:sz w:val="20"/>
          <w:lang w:val="fr-FR"/>
        </w:rPr>
        <w:t>réduire le nombre de dispositifs ou d’utilisateurs qui accèdent directement au logiciel ou qui l’utilisent</w:t>
      </w:r>
    </w:p>
    <w:p w14:paraId="0A1F01A3" w14:textId="77777777"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14:paraId="0A1F01A4" w14:textId="77777777"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14:paraId="0A1F01A5" w14:textId="77777777"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14:paraId="0A1F01A6" w14:textId="77777777"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14:paraId="0A1F01A7" w14:textId="77777777"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14:paraId="0A1F01A8" w14:textId="77777777"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14:paraId="0A1F01A9" w14:textId="77777777"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14:paraId="0A1F01AA" w14:textId="77777777" w:rsidR="003109B5" w:rsidRPr="00AE4DC8" w:rsidRDefault="003109B5" w:rsidP="00132ACF">
      <w:pPr>
        <w:pStyle w:val="Bullet2"/>
      </w:pPr>
      <w:r w:rsidRPr="00AE4DC8">
        <w:rPr>
          <w:sz w:val="20"/>
          <w:lang w:val="fr-FR"/>
        </w:rPr>
        <w:t>à contourner les restrictions techniques contenues dans le logiciel ;</w:t>
      </w:r>
    </w:p>
    <w:p w14:paraId="0A1F01AB" w14:textId="77777777"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14:paraId="0A1F01AC" w14:textId="77777777"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14:paraId="0A1F01AD" w14:textId="77777777" w:rsidR="003109B5" w:rsidRPr="00AE4DC8" w:rsidRDefault="003109B5" w:rsidP="00132ACF">
      <w:pPr>
        <w:pStyle w:val="Bullet2"/>
      </w:pPr>
      <w:r w:rsidRPr="00AE4DC8">
        <w:rPr>
          <w:sz w:val="20"/>
          <w:lang w:val="fr-FR"/>
        </w:rPr>
        <w:t>publier le logiciel en vue d’une reproduction par autrui ;</w:t>
      </w:r>
    </w:p>
    <w:p w14:paraId="0A1F01AE" w14:textId="77777777" w:rsidR="003109B5" w:rsidRPr="00AE4DC8" w:rsidRDefault="003109B5" w:rsidP="00132ACF">
      <w:pPr>
        <w:pStyle w:val="Bullet2"/>
      </w:pPr>
      <w:r w:rsidRPr="00AE4DC8">
        <w:rPr>
          <w:sz w:val="20"/>
          <w:lang w:val="fr-FR"/>
        </w:rPr>
        <w:t>louer ou prêter le logiciel ; ou</w:t>
      </w:r>
    </w:p>
    <w:p w14:paraId="0A1F01AF" w14:textId="77777777" w:rsidR="003109B5" w:rsidRPr="00AE4DC8" w:rsidRDefault="003109B5" w:rsidP="00132ACF">
      <w:pPr>
        <w:pStyle w:val="Bullet2"/>
      </w:pPr>
      <w:r w:rsidRPr="00AE4DC8">
        <w:rPr>
          <w:sz w:val="20"/>
          <w:lang w:val="fr-FR"/>
        </w:rPr>
        <w:t>utiliser le logiciel en association avec des services d’hébergement commercial.</w:t>
      </w:r>
    </w:p>
    <w:p w14:paraId="0A1F01B0" w14:textId="77777777"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14:paraId="0A1F01B1" w14:textId="77777777"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14:paraId="0A1F01B2" w14:textId="77777777"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14:paraId="0A1F01B3" w14:textId="77777777"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14:paraId="0A1F01B4" w14:textId="77777777"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14:paraId="0A1F01B5" w14:textId="77777777"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14:paraId="0A1F01B6" w14:textId="77777777"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14:paraId="0A1F01B7" w14:textId="77777777"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14:paraId="0A1F01B8" w14:textId="77777777"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14:paraId="0A1F01B9" w14:textId="77777777"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14:paraId="0A1F01BA" w14:textId="77777777"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1F01BB" w14:textId="77777777"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14:paraId="0A1F01BC" w14:textId="77777777"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14:paraId="0A1F01BD" w14:textId="77777777"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14:paraId="0A1F01BE" w14:textId="77777777"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14:paraId="0A1F01BF" w14:textId="77777777"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F3CC7" w14:textId="77777777" w:rsidR="009B653F" w:rsidRDefault="009B653F" w:rsidP="003C2DE9">
      <w:pPr>
        <w:spacing w:before="0" w:after="0"/>
      </w:pPr>
      <w:r>
        <w:separator/>
      </w:r>
    </w:p>
  </w:endnote>
  <w:endnote w:type="continuationSeparator" w:id="0">
    <w:p w14:paraId="6B7C779E" w14:textId="77777777" w:rsidR="009B653F" w:rsidRDefault="009B653F"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14:paraId="0A1F01C6" w14:textId="77777777" w:rsidTr="000639C4">
      <w:tc>
        <w:tcPr>
          <w:tcW w:w="5328" w:type="dxa"/>
        </w:tcPr>
        <w:p w14:paraId="0A1F01C4" w14:textId="104B59A4" w:rsidR="00A40488" w:rsidRPr="00A40488" w:rsidRDefault="00A40488" w:rsidP="00280BB1">
          <w:pPr>
            <w:tabs>
              <w:tab w:val="center" w:pos="4680"/>
              <w:tab w:val="right" w:pos="9360"/>
            </w:tabs>
            <w:spacing w:before="0" w:after="0"/>
            <w:rPr>
              <w:sz w:val="18"/>
              <w:szCs w:val="18"/>
            </w:rPr>
          </w:pPr>
          <w:r w:rsidRPr="00A40488">
            <w:rPr>
              <w:sz w:val="18"/>
              <w:szCs w:val="18"/>
            </w:rPr>
            <w:t>ISV Royalty Agreement License Terms (</w:t>
          </w:r>
          <w:r w:rsidR="00280BB1">
            <w:rPr>
              <w:sz w:val="18"/>
              <w:szCs w:val="18"/>
            </w:rPr>
            <w:t>January</w:t>
          </w:r>
          <w:r w:rsidRPr="00A40488">
            <w:rPr>
              <w:sz w:val="18"/>
              <w:szCs w:val="18"/>
            </w:rPr>
            <w:t xml:space="preserve"> 1, 201</w:t>
          </w:r>
          <w:r w:rsidR="00280BB1">
            <w:rPr>
              <w:sz w:val="18"/>
              <w:szCs w:val="18"/>
            </w:rPr>
            <w:t>5</w:t>
          </w:r>
          <w:r w:rsidRPr="00A40488">
            <w:rPr>
              <w:sz w:val="18"/>
              <w:szCs w:val="18"/>
            </w:rPr>
            <w:t>)</w:t>
          </w:r>
        </w:p>
      </w:tc>
      <w:tc>
        <w:tcPr>
          <w:tcW w:w="5220" w:type="dxa"/>
        </w:tcPr>
        <w:p w14:paraId="0A1F01C5" w14:textId="77777777"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EC2A0C">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EC2A0C">
            <w:rPr>
              <w:noProof/>
              <w:sz w:val="18"/>
              <w:szCs w:val="18"/>
            </w:rPr>
            <w:t>2</w:t>
          </w:r>
          <w:r w:rsidRPr="00A40488">
            <w:rPr>
              <w:sz w:val="18"/>
              <w:szCs w:val="18"/>
            </w:rPr>
            <w:fldChar w:fldCharType="end"/>
          </w:r>
        </w:p>
      </w:tc>
    </w:tr>
  </w:tbl>
  <w:p w14:paraId="0A1F01C7" w14:textId="77777777"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103AE" w14:textId="77777777" w:rsidR="009B653F" w:rsidRDefault="009B653F" w:rsidP="003C2DE9">
      <w:pPr>
        <w:spacing w:before="0" w:after="0"/>
      </w:pPr>
      <w:r>
        <w:separator/>
      </w:r>
    </w:p>
  </w:footnote>
  <w:footnote w:type="continuationSeparator" w:id="0">
    <w:p w14:paraId="38B176A4" w14:textId="77777777" w:rsidR="009B653F" w:rsidRDefault="009B653F" w:rsidP="003C2DE9">
      <w:pPr>
        <w:spacing w:before="0" w:after="0"/>
      </w:pPr>
      <w:r>
        <w:continuationSeparator/>
      </w:r>
    </w:p>
  </w:footnote>
  <w:footnote w:id="1">
    <w:p w14:paraId="0A1F01C8" w14:textId="05958B9C"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w:t>
      </w:r>
      <w:r w:rsidR="00280BB1">
        <w:rPr>
          <w:b/>
          <w:bCs/>
          <w:sz w:val="16"/>
          <w:szCs w:val="16"/>
        </w:rPr>
        <w:t>5</w:t>
      </w:r>
      <w:r w:rsidRPr="00A40488">
        <w:rPr>
          <w:b/>
          <w:bCs/>
          <w:sz w:val="16"/>
          <w:szCs w:val="16"/>
        </w:rPr>
        <w:t>, Version Éducation.</w:t>
      </w:r>
    </w:p>
  </w:footnote>
  <w:footnote w:id="2">
    <w:p w14:paraId="0A1F01C9" w14:textId="77777777"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14:paraId="0A1F01CA" w14:textId="77777777"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14:paraId="0A1F01CB" w14:textId="77777777"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D4/JW3KlB3v5TY4atgivgRZHmPTBxO1ZmkcawGyOngqDf8Ozxtmk2YVb1tDvx2nvZun2cm2Mf6AvWmTN8ANA==" w:salt="p3k1LE2Gz6MtJI4N0A5SH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80BB1"/>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B653F"/>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902B7"/>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2A0C"/>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1F0155"/>
  <w15:docId w15:val="{E1FD9E17-CB77-4B22-AF8A-A04EA38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2.xml><?xml version="1.0" encoding="utf-8"?>
<ds:datastoreItem xmlns:ds="http://schemas.openxmlformats.org/officeDocument/2006/customXml" ds:itemID="{4895D78D-60F7-4A03-B52B-1D5FD898D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cp:revision>
  <cp:lastPrinted>2013-09-20T08:14:00Z</cp:lastPrinted>
  <dcterms:created xsi:type="dcterms:W3CDTF">2014-12-03T20:28:00Z</dcterms:created>
  <dcterms:modified xsi:type="dcterms:W3CDTF">2014-12-31T19:44:00Z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